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56D31">
        <w:rPr>
          <w:rFonts w:ascii="Times New Roman" w:hAnsi="Times New Roman"/>
          <w:b/>
          <w:sz w:val="28"/>
          <w:szCs w:val="28"/>
        </w:rPr>
        <w:t>Петушенского</w:t>
      </w:r>
      <w:proofErr w:type="spellEnd"/>
      <w:r w:rsidR="002169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="00C55776">
        <w:rPr>
          <w:rFonts w:ascii="Times New Roman" w:hAnsi="Times New Roman"/>
          <w:b/>
          <w:color w:val="000000" w:themeColor="text1"/>
          <w:sz w:val="28"/>
          <w:szCs w:val="28"/>
        </w:rPr>
        <w:t>Новосильского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proofErr w:type="spellStart"/>
      <w:r w:rsidR="00956D31">
        <w:rPr>
          <w:rFonts w:ascii="Times New Roman" w:hAnsi="Times New Roman"/>
          <w:b/>
          <w:color w:val="000000" w:themeColor="text1"/>
          <w:sz w:val="28"/>
          <w:szCs w:val="28"/>
        </w:rPr>
        <w:t>Петушенского</w:t>
      </w:r>
      <w:proofErr w:type="spellEnd"/>
      <w:r w:rsidR="00297E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</w:t>
      </w:r>
      <w:r w:rsidR="0014037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CE6EA5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6D31">
        <w:rPr>
          <w:rFonts w:ascii="Times New Roman" w:hAnsi="Times New Roman"/>
          <w:b/>
          <w:color w:val="000000" w:themeColor="text1"/>
          <w:sz w:val="28"/>
          <w:szCs w:val="28"/>
        </w:rPr>
        <w:t>52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956D31">
        <w:rPr>
          <w:rFonts w:ascii="Times New Roman" w:hAnsi="Times New Roman"/>
          <w:b/>
          <w:color w:val="000000" w:themeColor="text1"/>
          <w:sz w:val="28"/>
          <w:szCs w:val="28"/>
        </w:rPr>
        <w:t>10 октября</w:t>
      </w:r>
      <w:r w:rsidR="002169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0870A4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154CE0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154CE0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в 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>статью 12.4</w:t>
      </w:r>
      <w:r w:rsidR="000870A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870A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раздела 12</w:t>
      </w:r>
      <w:r w:rsidR="000870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части </w:t>
      </w:r>
      <w:r w:rsidR="00154CE0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0870A4" w:rsidRDefault="000870A4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154CE0" w:rsidRPr="00602BBD" w:rsidRDefault="00154CE0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575712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0870A4">
        <w:rPr>
          <w:color w:val="000000" w:themeColor="text1"/>
          <w:sz w:val="28"/>
          <w:szCs w:val="28"/>
        </w:rPr>
        <w:t>8</w:t>
      </w:r>
    </w:p>
    <w:p w:rsidR="000870A4" w:rsidRDefault="000870A4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512F14" w:rsidRPr="00602BBD" w:rsidRDefault="00512F14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833561" w:rsidRPr="00582AEF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lastRenderedPageBreak/>
        <w:t xml:space="preserve">Проект внесения изменений в текстовую часть </w:t>
      </w:r>
    </w:p>
    <w:p w:rsidR="00833561" w:rsidRPr="00582AEF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Правил землепользования и застройки </w:t>
      </w:r>
      <w:proofErr w:type="spellStart"/>
      <w:r w:rsidR="00956D31">
        <w:rPr>
          <w:rFonts w:ascii="Times New Roman" w:hAnsi="Times New Roman"/>
          <w:b/>
          <w:sz w:val="27"/>
          <w:szCs w:val="27"/>
        </w:rPr>
        <w:t>Петушенского</w:t>
      </w:r>
      <w:proofErr w:type="spellEnd"/>
      <w:r w:rsidR="00671604"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сельского</w:t>
      </w:r>
      <w:r w:rsidR="0018520B"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поселения</w:t>
      </w:r>
    </w:p>
    <w:p w:rsidR="005E00D7" w:rsidRPr="00582AEF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833561" w:rsidRPr="00582AEF" w:rsidRDefault="00833561" w:rsidP="000870A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>Основанием для разработки является:</w:t>
      </w:r>
    </w:p>
    <w:p w:rsidR="00833561" w:rsidRPr="00582AEF" w:rsidRDefault="00833561" w:rsidP="00087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Приказ № 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>01-18/1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0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от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17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апреля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201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8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Управления градостроительства, архитектуры и землеустройства Орловской области;</w:t>
      </w:r>
    </w:p>
    <w:p w:rsidR="000870A4" w:rsidRPr="00956D31" w:rsidRDefault="00833561" w:rsidP="00087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>При разработке проекта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внесения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изменений 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7028EA" w:rsidRPr="00582AEF">
        <w:rPr>
          <w:rFonts w:ascii="Times New Roman" w:hAnsi="Times New Roman"/>
          <w:color w:val="000000" w:themeColor="text1"/>
          <w:sz w:val="27"/>
          <w:szCs w:val="27"/>
        </w:rPr>
        <w:t>П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равил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землепользования и застройки </w:t>
      </w:r>
      <w:proofErr w:type="spellStart"/>
      <w:r w:rsidR="00956D31">
        <w:rPr>
          <w:rFonts w:ascii="Times New Roman" w:hAnsi="Times New Roman"/>
          <w:color w:val="000000" w:themeColor="text1"/>
          <w:sz w:val="27"/>
          <w:szCs w:val="27"/>
        </w:rPr>
        <w:t>Петушенского</w:t>
      </w:r>
      <w:proofErr w:type="spellEnd"/>
      <w:r w:rsidR="00671604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использовались материалы Правил землепользования и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застройки </w:t>
      </w:r>
      <w:proofErr w:type="spellStart"/>
      <w:r w:rsidR="00956D31">
        <w:rPr>
          <w:rFonts w:ascii="Times New Roman" w:hAnsi="Times New Roman"/>
          <w:color w:val="000000" w:themeColor="text1"/>
          <w:sz w:val="27"/>
          <w:szCs w:val="27"/>
        </w:rPr>
        <w:t>Петушенского</w:t>
      </w:r>
      <w:proofErr w:type="spellEnd"/>
      <w:r w:rsidR="00671604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>поселения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утвержденные решением </w:t>
      </w:r>
      <w:proofErr w:type="spellStart"/>
      <w:r w:rsidR="00956D31">
        <w:rPr>
          <w:rFonts w:ascii="Times New Roman" w:hAnsi="Times New Roman"/>
          <w:color w:val="000000" w:themeColor="text1"/>
          <w:sz w:val="27"/>
          <w:szCs w:val="27"/>
        </w:rPr>
        <w:t>Петушенского</w:t>
      </w:r>
      <w:proofErr w:type="spellEnd"/>
      <w:r w:rsidR="00297E1A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Совета народных депутатов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№ </w:t>
      </w:r>
      <w:r w:rsidR="00956D31" w:rsidRPr="00956D31">
        <w:rPr>
          <w:rFonts w:ascii="Times New Roman" w:hAnsi="Times New Roman"/>
          <w:color w:val="000000" w:themeColor="text1"/>
          <w:sz w:val="28"/>
          <w:szCs w:val="28"/>
        </w:rPr>
        <w:t xml:space="preserve">52 от 10 октября 2017 </w:t>
      </w:r>
      <w:bookmarkStart w:id="0" w:name="_GoBack"/>
      <w:bookmarkEnd w:id="0"/>
      <w:r w:rsidR="000870A4" w:rsidRPr="00956D31">
        <w:rPr>
          <w:rFonts w:ascii="Times New Roman" w:hAnsi="Times New Roman"/>
          <w:color w:val="000000" w:themeColor="text1"/>
          <w:sz w:val="27"/>
          <w:szCs w:val="27"/>
        </w:rPr>
        <w:t>года.</w:t>
      </w:r>
    </w:p>
    <w:p w:rsidR="001A2D3B" w:rsidRPr="00582AEF" w:rsidRDefault="000870A4" w:rsidP="000870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Основная цель разработки изменения документации - приведение предельных (минимальных и (или) максимальных) размеров земельных участков в соответствие с законом Орловской области от 10 ноября 2015 года </w:t>
      </w:r>
      <w:r w:rsidR="00582AEF">
        <w:rPr>
          <w:rFonts w:ascii="Times New Roman" w:hAnsi="Times New Roman"/>
          <w:color w:val="000000" w:themeColor="text1"/>
          <w:sz w:val="27"/>
          <w:szCs w:val="27"/>
        </w:rPr>
        <w:br/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№ 1872-ОЗ «Об отдельных правоотношениях, связанных с предоставлением в собственность гражданам земельных участков на территории Орловской области», Федеральным законом от 7 июля 2003 г. N 112-ФЗ "О личном подсобном хозяйстве", постановлением Новосильского районного Совета народных депутатов Орловской области № 71 от 08.12.2006 года </w:t>
      </w:r>
      <w:r w:rsidR="00B260DE">
        <w:rPr>
          <w:rFonts w:ascii="Times New Roman" w:hAnsi="Times New Roman"/>
          <w:color w:val="000000" w:themeColor="text1"/>
          <w:sz w:val="27"/>
          <w:szCs w:val="27"/>
        </w:rPr>
        <w:br/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«Об утверждении предельных размеров и условий предоставления земельных участков в собственность граждан» (в ред. решения от 07.02.2014 № 654).</w:t>
      </w:r>
    </w:p>
    <w:p w:rsidR="000870A4" w:rsidRPr="00582AEF" w:rsidRDefault="000870A4" w:rsidP="000870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B412B" w:rsidRPr="00582AEF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>Проект внесения изменений предполагает</w:t>
      </w:r>
      <w:r w:rsidR="00BB412B" w:rsidRPr="00582AEF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A233D6" w:rsidRPr="00582AEF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31499C" w:rsidRPr="00582AEF" w:rsidRDefault="0031499C" w:rsidP="00697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Внести в </w:t>
      </w:r>
      <w:r w:rsidR="000870A4"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раздел 12 части </w:t>
      </w:r>
      <w:r w:rsidR="000870A4" w:rsidRPr="00582AEF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III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следующие изменения:</w:t>
      </w:r>
    </w:p>
    <w:p w:rsidR="00B260DE" w:rsidRDefault="000A0F5E" w:rsidP="00B260D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 </w:t>
      </w:r>
      <w:r w:rsidR="000870A4" w:rsidRPr="00582AE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 xml:space="preserve">строке 4.1 индекса зон Ж1, </w:t>
      </w:r>
      <w:proofErr w:type="spellStart"/>
      <w:r w:rsidR="000870A4" w:rsidRPr="00582AE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>Жст</w:t>
      </w:r>
      <w:proofErr w:type="spellEnd"/>
      <w:r w:rsidR="000870A4" w:rsidRPr="00582AE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>стать</w:t>
      </w:r>
      <w:r w:rsidR="00582AEF"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и </w:t>
      </w:r>
      <w:r w:rsidR="00272B1A">
        <w:rPr>
          <w:rFonts w:ascii="Times New Roman" w:hAnsi="Times New Roman"/>
          <w:b/>
          <w:color w:val="000000" w:themeColor="text1"/>
          <w:sz w:val="27"/>
          <w:szCs w:val="27"/>
        </w:rPr>
        <w:t>12.4:</w:t>
      </w:r>
    </w:p>
    <w:p w:rsidR="00F04F15" w:rsidRPr="00B260DE" w:rsidRDefault="00B260DE" w:rsidP="00B260DE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а) </w:t>
      </w:r>
      <w:r w:rsidR="00511143" w:rsidRPr="00B260DE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слова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="000870A4"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«-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Предельный (минимальный) размер земельных участков для индивидуа</w:t>
      </w:r>
      <w:r w:rsidR="00582AEF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льного строительства – 0,15 га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.»</w:t>
      </w:r>
      <w:r w:rsidR="007C2A92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7C2A92"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з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аменить на слова</w:t>
      </w:r>
      <w:r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  <w:t xml:space="preserve"> </w:t>
      </w:r>
      <w:r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  <w:br/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«1. В 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соответствии с постановлением Новосильского районного Совета народных депутатов Орловской области № 71 от 08.12.2006 года 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«Об утверждении предельных размеров и условий предоставления земельных участков в собственность граждан» п</w:t>
      </w:r>
      <w:r w:rsidR="00280BE0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редельные (минимальные и (или) максимальные) размеры земельных у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частков, в том числе их площадь</w:t>
      </w:r>
      <w:r w:rsidR="00582AEF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</w:p>
    <w:p w:rsidR="00280BE0" w:rsidRPr="00582AEF" w:rsidRDefault="00F04F15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1.1. </w:t>
      </w:r>
      <w:r w:rsidR="00280BE0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находящихся в собственности области или муниципальной собственности, либо из земель, государственная собственность на которые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="00280BE0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не разграничена, предоставляемых гражданам в собственность </w:t>
      </w:r>
      <w:r w:rsidRPr="00B260DE">
        <w:rPr>
          <w:rFonts w:ascii="Times New Roman" w:hAnsi="Times New Roman"/>
          <w:color w:val="000000" w:themeColor="text1"/>
          <w:sz w:val="27"/>
          <w:szCs w:val="27"/>
          <w:u w:val="single"/>
          <w:lang w:eastAsia="ar-SA"/>
        </w:rPr>
        <w:t>бесплатно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</w:p>
    <w:p w:rsidR="00F04F15" w:rsidRPr="00582AEF" w:rsidRDefault="00F04F15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1) для ведения личного подсобного хозяйства:</w:t>
      </w:r>
    </w:p>
    <w:p w:rsidR="00F04F15" w:rsidRPr="00582AEF" w:rsidRDefault="00F04F15" w:rsidP="00F04F1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а) максимальная - 0,50 гектара;</w:t>
      </w:r>
    </w:p>
    <w:p w:rsidR="00280BE0" w:rsidRPr="00582AEF" w:rsidRDefault="00F04F15" w:rsidP="00280BE0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</w:t>
      </w:r>
      <w:r w:rsidR="00280BE0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) для индивидуального жилищного строительства:</w:t>
      </w:r>
    </w:p>
    <w:p w:rsidR="00280BE0" w:rsidRPr="00582AEF" w:rsidRDefault="00280BE0" w:rsidP="00280BE0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- 0,25 гектара;</w:t>
      </w:r>
    </w:p>
    <w:p w:rsidR="00280BE0" w:rsidRPr="00582AEF" w:rsidRDefault="00280BE0" w:rsidP="00280BE0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- 0,05 гектара;</w:t>
      </w:r>
    </w:p>
    <w:p w:rsidR="00280BE0" w:rsidRPr="00582AEF" w:rsidRDefault="00280BE0" w:rsidP="004A74E6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1.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предоставляемых в собственность гражданам из 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числа неразграниченных земель или находящихся в собственности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муниципально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го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образования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</w:p>
    <w:p w:rsidR="00D52E67" w:rsidRPr="00582AEF" w:rsidRDefault="007C2A92" w:rsidP="00BD298D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</w:t>
      </w:r>
      <w:r w:rsidR="004A74E6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)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для ведения 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личного подсобного хозяйства (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приусадебные земельные участки в черте сельских поселений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)</w:t>
      </w:r>
    </w:p>
    <w:p w:rsidR="00D52E67" w:rsidRPr="00582AEF" w:rsidRDefault="00D52E67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а) максимальная - 0,</w:t>
      </w:r>
      <w:r w:rsidR="00B260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50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D52E67" w:rsidRPr="00582AEF" w:rsidRDefault="00D52E67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б) минимальная - 0,</w:t>
      </w:r>
      <w:r w:rsidR="00B260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10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D52E67" w:rsidRPr="00582AEF" w:rsidRDefault="00BD298D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lastRenderedPageBreak/>
        <w:t>2</w:t>
      </w:r>
      <w:r w:rsidR="004A74E6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)</w:t>
      </w:r>
      <w:r w:rsidR="00D52E67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 xml:space="preserve"> для </w:t>
      </w:r>
      <w:r w:rsidR="00BA15A3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индивидуального жилищного строительства</w:t>
      </w:r>
      <w:r w:rsidR="00D52E67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:</w:t>
      </w:r>
    </w:p>
    <w:p w:rsidR="00D52E67" w:rsidRPr="00582AEF" w:rsidRDefault="00D52E67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а) максимальная - 0,</w:t>
      </w:r>
      <w:r w:rsidR="00B260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15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280BE0" w:rsidRPr="00582AEF" w:rsidRDefault="00D52E67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б) минимальная - 0,</w:t>
      </w:r>
      <w:r w:rsidR="00B260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05 гектара;</w:t>
      </w:r>
    </w:p>
    <w:p w:rsidR="00B260DE" w:rsidRPr="00B260DE" w:rsidRDefault="00B260DE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B260DE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б) дополнить словами следующего содержания:</w:t>
      </w:r>
    </w:p>
    <w:p w:rsidR="00FA69C9" w:rsidRPr="00582AEF" w:rsidRDefault="00B260DE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</w:t>
      </w:r>
      <w:r w:rsidR="00FA69C9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Для всех прочих случаев и видов разрешенного использования земельных участков</w:t>
      </w:r>
      <w:r w:rsidR="00FA69C9" w:rsidRPr="00582AEF">
        <w:rPr>
          <w:sz w:val="27"/>
          <w:szCs w:val="27"/>
        </w:rPr>
        <w:t xml:space="preserve"> </w:t>
      </w:r>
      <w:r w:rsidR="00FA69C9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ктов капитального строительства не ограничиваются.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»</w:t>
      </w:r>
    </w:p>
    <w:p w:rsidR="004F51B5" w:rsidRPr="00582AEF" w:rsidRDefault="004F51B5" w:rsidP="004F5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2) строку 4.1 индекса зоны С2 статьи 12.7 изложить в следующей редакции:</w:t>
      </w:r>
    </w:p>
    <w:p w:rsidR="00F04F15" w:rsidRPr="00582AEF" w:rsidRDefault="00FA69C9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«</w:t>
      </w:r>
      <w:r w:rsidR="00272B1A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1. 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В соответствии с постановлением Новосильского районного Совета народных депутатов Орловской области № 71 от 08.12.2006 года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«Об утверждении предельных размеров и условий предоставления земельных участков в собственность граждан» (в ред. решения от 07.02.2014 № 654) предельные (минимальные и (или) максимальные) размеры земельных участков, в том числе их площадь </w:t>
      </w:r>
    </w:p>
    <w:p w:rsidR="00F04F15" w:rsidRPr="00582AEF" w:rsidRDefault="00F04F15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1.1. находящихся в собственности области или муниципальной собственности, либо из земель, государственная собственность на которые </w:t>
      </w:r>
      <w:r w:rsidR="00B80F7D"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не разграничена, предоставляемых гражданам в собственность </w:t>
      </w:r>
      <w:r w:rsidRPr="00B260DE">
        <w:rPr>
          <w:rFonts w:ascii="Times New Roman" w:hAnsi="Times New Roman"/>
          <w:color w:val="000000" w:themeColor="text1"/>
          <w:sz w:val="27"/>
          <w:szCs w:val="27"/>
          <w:u w:val="single"/>
          <w:lang w:eastAsia="ar-SA"/>
        </w:rPr>
        <w:t>бесплатно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</w:p>
    <w:p w:rsidR="00FA69C9" w:rsidRPr="00582AEF" w:rsidRDefault="00FA69C9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1) для ведения личного подсобного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- 0,50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2) для ведения садоводства, огородничества, животноводства, дачного строительства: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– 0,25 га;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– 0,01 га.</w:t>
      </w:r>
    </w:p>
    <w:p w:rsidR="00F04F15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1.2. 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предоставляемых в собственность гражданам из числа неразграниченных земель или находящихся в собственности муниципального образования: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1) для ведения личного подсобного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- приусадебные земельные участки в черте сельских поселений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50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- 0,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10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- полевые земельные участки при наличии свободных земельных участков (вне черты):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а) максимальная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–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1,0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б) минимальная –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0,10 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2) для ведения садоводства, огородничества, дачного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- 0,25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- 0,01 гектара.</w:t>
      </w:r>
    </w:p>
    <w:p w:rsidR="004F51B5" w:rsidRPr="00582AEF" w:rsidRDefault="00F04F15" w:rsidP="004F51B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Для всех прочих случаев и видов разрешенного использования земельных участков</w:t>
      </w:r>
      <w:r w:rsidRPr="00582AEF">
        <w:rPr>
          <w:sz w:val="27"/>
          <w:szCs w:val="27"/>
        </w:rPr>
        <w:t xml:space="preserve"> 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ктов капитального строительства 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не ограничиваются</w:t>
      </w:r>
      <w:r w:rsidR="004F51B5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»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.</w:t>
      </w:r>
    </w:p>
    <w:p w:rsidR="004F51B5" w:rsidRPr="00582AEF" w:rsidRDefault="004F51B5" w:rsidP="004F51B5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927D8E" w:rsidRPr="009E29B0" w:rsidRDefault="00927D8E" w:rsidP="004F5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 w:rsidSect="008C79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" w15:restartNumberingAfterBreak="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DE122D8"/>
    <w:multiLevelType w:val="multilevel"/>
    <w:tmpl w:val="0F30EFC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2754668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F47F34"/>
    <w:multiLevelType w:val="hybridMultilevel"/>
    <w:tmpl w:val="A0D826A6"/>
    <w:lvl w:ilvl="0" w:tplc="7BDAB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0F05F2"/>
    <w:multiLevelType w:val="hybridMultilevel"/>
    <w:tmpl w:val="6BA0603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5F5C"/>
    <w:multiLevelType w:val="hybridMultilevel"/>
    <w:tmpl w:val="F342C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B0490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734B85"/>
    <w:multiLevelType w:val="hybridMultilevel"/>
    <w:tmpl w:val="C70A725A"/>
    <w:lvl w:ilvl="0" w:tplc="7BDAB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1D02"/>
    <w:multiLevelType w:val="hybridMultilevel"/>
    <w:tmpl w:val="E918BC6A"/>
    <w:lvl w:ilvl="0" w:tplc="D3842EC2">
      <w:start w:val="1"/>
      <w:numFmt w:val="decimal"/>
      <w:lvlText w:val="%1)"/>
      <w:lvlJc w:val="left"/>
      <w:pPr>
        <w:ind w:left="9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6E242612"/>
    <w:multiLevelType w:val="hybridMultilevel"/>
    <w:tmpl w:val="C70A725A"/>
    <w:lvl w:ilvl="0" w:tplc="7BDAB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AB6C32"/>
    <w:multiLevelType w:val="hybridMultilevel"/>
    <w:tmpl w:val="184C6322"/>
    <w:lvl w:ilvl="0" w:tplc="41FE3D8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5"/>
  </w:num>
  <w:num w:numId="5">
    <w:abstractNumId w:val="13"/>
  </w:num>
  <w:num w:numId="6">
    <w:abstractNumId w:val="16"/>
  </w:num>
  <w:num w:numId="7">
    <w:abstractNumId w:val="18"/>
  </w:num>
  <w:num w:numId="8">
    <w:abstractNumId w:val="8"/>
  </w:num>
  <w:num w:numId="9">
    <w:abstractNumId w:val="12"/>
  </w:num>
  <w:num w:numId="10">
    <w:abstractNumId w:val="7"/>
  </w:num>
  <w:num w:numId="11">
    <w:abstractNumId w:val="19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1"/>
    <w:rsid w:val="000870A4"/>
    <w:rsid w:val="000A0F5E"/>
    <w:rsid w:val="000A162C"/>
    <w:rsid w:val="000E62D9"/>
    <w:rsid w:val="00140372"/>
    <w:rsid w:val="00154CE0"/>
    <w:rsid w:val="00181DD4"/>
    <w:rsid w:val="0018520B"/>
    <w:rsid w:val="001A2D3B"/>
    <w:rsid w:val="001D1DF0"/>
    <w:rsid w:val="001D421C"/>
    <w:rsid w:val="001F7EBB"/>
    <w:rsid w:val="0021696D"/>
    <w:rsid w:val="00272B1A"/>
    <w:rsid w:val="00280BE0"/>
    <w:rsid w:val="00297E1A"/>
    <w:rsid w:val="002C1571"/>
    <w:rsid w:val="002C2A95"/>
    <w:rsid w:val="002D6963"/>
    <w:rsid w:val="002E0099"/>
    <w:rsid w:val="0031499C"/>
    <w:rsid w:val="003374D8"/>
    <w:rsid w:val="00340B04"/>
    <w:rsid w:val="00341F05"/>
    <w:rsid w:val="00363170"/>
    <w:rsid w:val="003A1B4B"/>
    <w:rsid w:val="003D6A88"/>
    <w:rsid w:val="003E114D"/>
    <w:rsid w:val="00405EA7"/>
    <w:rsid w:val="00423633"/>
    <w:rsid w:val="00445E15"/>
    <w:rsid w:val="004A74E6"/>
    <w:rsid w:val="004C3185"/>
    <w:rsid w:val="004C600F"/>
    <w:rsid w:val="004E09A8"/>
    <w:rsid w:val="004F1738"/>
    <w:rsid w:val="004F51B5"/>
    <w:rsid w:val="00511143"/>
    <w:rsid w:val="00512F14"/>
    <w:rsid w:val="00575712"/>
    <w:rsid w:val="00582AEF"/>
    <w:rsid w:val="005E00D7"/>
    <w:rsid w:val="00602BBD"/>
    <w:rsid w:val="00626979"/>
    <w:rsid w:val="00661976"/>
    <w:rsid w:val="006701F0"/>
    <w:rsid w:val="00671604"/>
    <w:rsid w:val="00685C07"/>
    <w:rsid w:val="00697E2E"/>
    <w:rsid w:val="006B01E3"/>
    <w:rsid w:val="006B5FE1"/>
    <w:rsid w:val="006C4015"/>
    <w:rsid w:val="006D5F91"/>
    <w:rsid w:val="006E3062"/>
    <w:rsid w:val="007028EA"/>
    <w:rsid w:val="00734545"/>
    <w:rsid w:val="00760634"/>
    <w:rsid w:val="00766391"/>
    <w:rsid w:val="00783E28"/>
    <w:rsid w:val="007B290F"/>
    <w:rsid w:val="007C2A92"/>
    <w:rsid w:val="007C3612"/>
    <w:rsid w:val="007D0260"/>
    <w:rsid w:val="00833561"/>
    <w:rsid w:val="00871844"/>
    <w:rsid w:val="00884BDB"/>
    <w:rsid w:val="008C2758"/>
    <w:rsid w:val="008C796D"/>
    <w:rsid w:val="0091353E"/>
    <w:rsid w:val="00927D8E"/>
    <w:rsid w:val="00956D31"/>
    <w:rsid w:val="00975583"/>
    <w:rsid w:val="0098444C"/>
    <w:rsid w:val="009867C7"/>
    <w:rsid w:val="009B7B62"/>
    <w:rsid w:val="009E29B0"/>
    <w:rsid w:val="00A233D6"/>
    <w:rsid w:val="00A345D8"/>
    <w:rsid w:val="00A4478C"/>
    <w:rsid w:val="00A53363"/>
    <w:rsid w:val="00A90EEB"/>
    <w:rsid w:val="00A9544D"/>
    <w:rsid w:val="00B260DE"/>
    <w:rsid w:val="00B430B7"/>
    <w:rsid w:val="00B75DBB"/>
    <w:rsid w:val="00B80F7D"/>
    <w:rsid w:val="00B9416B"/>
    <w:rsid w:val="00B94A5C"/>
    <w:rsid w:val="00BA15A3"/>
    <w:rsid w:val="00BB412B"/>
    <w:rsid w:val="00BD298D"/>
    <w:rsid w:val="00C50242"/>
    <w:rsid w:val="00C55776"/>
    <w:rsid w:val="00C949FC"/>
    <w:rsid w:val="00CA04BD"/>
    <w:rsid w:val="00CA38FE"/>
    <w:rsid w:val="00CE6EA5"/>
    <w:rsid w:val="00D46A92"/>
    <w:rsid w:val="00D47B48"/>
    <w:rsid w:val="00D52E67"/>
    <w:rsid w:val="00D9129B"/>
    <w:rsid w:val="00DB768A"/>
    <w:rsid w:val="00E20FFC"/>
    <w:rsid w:val="00E21381"/>
    <w:rsid w:val="00E4088A"/>
    <w:rsid w:val="00E4579A"/>
    <w:rsid w:val="00E66DFE"/>
    <w:rsid w:val="00E82A1C"/>
    <w:rsid w:val="00E83A33"/>
    <w:rsid w:val="00EE44C0"/>
    <w:rsid w:val="00F04F15"/>
    <w:rsid w:val="00F22ACF"/>
    <w:rsid w:val="00F6644E"/>
    <w:rsid w:val="00F74A2B"/>
    <w:rsid w:val="00F80C67"/>
    <w:rsid w:val="00F84AE6"/>
    <w:rsid w:val="00F85313"/>
    <w:rsid w:val="00FA6898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45E55-3813-4C43-B1B7-BBD12C2D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  <w:style w:type="paragraph" w:customStyle="1" w:styleId="ConsPlusNormal">
    <w:name w:val="ConsPlusNormal"/>
    <w:rsid w:val="00E4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5583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plia</cp:lastModifiedBy>
  <cp:revision>50</cp:revision>
  <cp:lastPrinted>2018-10-26T11:33:00Z</cp:lastPrinted>
  <dcterms:created xsi:type="dcterms:W3CDTF">2015-12-23T07:17:00Z</dcterms:created>
  <dcterms:modified xsi:type="dcterms:W3CDTF">2018-10-26T11:34:00Z</dcterms:modified>
</cp:coreProperties>
</file>